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9311C" w14:textId="6238F019" w:rsidR="00185980" w:rsidRPr="002954BF" w:rsidRDefault="00E40F50" w:rsidP="00E40F50">
      <w:pPr>
        <w:spacing w:line="360" w:lineRule="auto"/>
        <w:jc w:val="center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D</w:t>
      </w:r>
      <w:r w:rsidR="00185980"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ISCIPLINA DELLA CLAUSOLA DI REVISIONE PREZZI</w:t>
      </w:r>
      <w:r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 xml:space="preserve"> </w:t>
      </w:r>
    </w:p>
    <w:p w14:paraId="115DCA7A" w14:textId="3EC140F4" w:rsidR="00185980" w:rsidRDefault="00185980" w:rsidP="00E40F50">
      <w:pPr>
        <w:spacing w:line="360" w:lineRule="auto"/>
        <w:jc w:val="center"/>
        <w:rPr>
          <w:rFonts w:ascii="Atkinson Hyperlegible" w:eastAsia="Times New Roman" w:hAnsi="Atkinson Hyperlegible" w:cs="Times New Roman"/>
          <w:i/>
          <w:iCs/>
          <w:color w:val="1F1F1F"/>
          <w:sz w:val="18"/>
          <w:szCs w:val="18"/>
          <w:bdr w:val="none" w:sz="0" w:space="0" w:color="auto" w:frame="1"/>
        </w:rPr>
      </w:pPr>
      <w:r w:rsidRPr="00E40F50">
        <w:rPr>
          <w:rFonts w:ascii="Atkinson Hyperlegible" w:eastAsia="Times New Roman" w:hAnsi="Atkinson Hyperlegible" w:cs="Times New Roman"/>
          <w:i/>
          <w:iCs/>
          <w:color w:val="1F1F1F"/>
          <w:sz w:val="18"/>
          <w:szCs w:val="18"/>
          <w:bdr w:val="none" w:sz="0" w:space="0" w:color="auto" w:frame="1"/>
        </w:rPr>
        <w:t xml:space="preserve">(ai sensi dell’art. 60 e dell’Allegato II.2-bis del </w:t>
      </w:r>
      <w:r w:rsidR="00E40F50" w:rsidRPr="00E40F50">
        <w:rPr>
          <w:rFonts w:ascii="Atkinson Hyperlegible" w:eastAsia="Times New Roman" w:hAnsi="Atkinson Hyperlegible" w:cs="Times New Roman"/>
          <w:i/>
          <w:iCs/>
          <w:color w:val="1F1F1F"/>
          <w:sz w:val="18"/>
          <w:szCs w:val="18"/>
          <w:bdr w:val="none" w:sz="0" w:space="0" w:color="auto" w:frame="1"/>
        </w:rPr>
        <w:t>D.lgs.</w:t>
      </w:r>
      <w:r w:rsidRPr="00E40F50">
        <w:rPr>
          <w:rFonts w:ascii="Atkinson Hyperlegible" w:eastAsia="Times New Roman" w:hAnsi="Atkinson Hyperlegible" w:cs="Times New Roman"/>
          <w:i/>
          <w:iCs/>
          <w:color w:val="1F1F1F"/>
          <w:sz w:val="18"/>
          <w:szCs w:val="18"/>
          <w:bdr w:val="none" w:sz="0" w:space="0" w:color="auto" w:frame="1"/>
        </w:rPr>
        <w:t xml:space="preserve"> 31 marzo 2023, n. 36)</w:t>
      </w:r>
    </w:p>
    <w:p w14:paraId="16E5A221" w14:textId="77777777" w:rsidR="00C2151A" w:rsidRPr="00E40F50" w:rsidRDefault="00C2151A" w:rsidP="00E40F50">
      <w:pPr>
        <w:spacing w:line="360" w:lineRule="auto"/>
        <w:jc w:val="center"/>
        <w:rPr>
          <w:rFonts w:ascii="Atkinson Hyperlegible" w:eastAsia="Times New Roman" w:hAnsi="Atkinson Hyperlegible" w:cs="Times New Roman"/>
          <w:color w:val="1F1F1F"/>
          <w:sz w:val="18"/>
          <w:szCs w:val="18"/>
        </w:rPr>
      </w:pPr>
    </w:p>
    <w:p w14:paraId="562D72DA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1 — PRINCIPI GENERALI E AMBITO DI APPLICAZIONE</w:t>
      </w:r>
    </w:p>
    <w:p w14:paraId="289BE871" w14:textId="54587F11" w:rsidR="00185980" w:rsidRPr="002954BF" w:rsidRDefault="00185980" w:rsidP="00EB6E3F">
      <w:pPr>
        <w:numPr>
          <w:ilvl w:val="0"/>
          <w:numId w:val="2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In attuazione dell’articolo 60 del </w:t>
      </w:r>
      <w:r w:rsidR="00E40F50"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D.lgs.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36/2023, il presente contratto contiene la clausola obbligatoria di revisione dei prezzi, volta a riequilibrare il sinallagma contrattuale al verificarsi di variazioni eccezionali e imprevedibili dei costi di esecuzione.</w:t>
      </w:r>
    </w:p>
    <w:p w14:paraId="00310954" w14:textId="77777777" w:rsidR="00185980" w:rsidRPr="002954BF" w:rsidRDefault="00185980" w:rsidP="00EB6E3F">
      <w:pPr>
        <w:numPr>
          <w:ilvl w:val="0"/>
          <w:numId w:val="2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La revisione dei prezzi si applica esclusivamente alle prestazioni non ancora eseguite al momento della richiesta o del verificarsi delle condizioni prescritte dalla legge e non ha finalità d'indennizzo integrale, bensì di ripartizione del rischio tra Stazione Appaltante e Operatore Economico.</w:t>
      </w:r>
    </w:p>
    <w:p w14:paraId="36122A1B" w14:textId="3AA7FA5E" w:rsidR="00200A4A" w:rsidRDefault="00200A4A" w:rsidP="00EB6E3F">
      <w:pPr>
        <w:numPr>
          <w:ilvl w:val="0"/>
          <w:numId w:val="2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Il presente disciplinare si applica sia agli appalti di Lavori sia agli appalti di Servizi e Forniture (compresi i Servizi di Ingegneria e Architettura - SIA e le prestazioni professionali), con le specifiche differenziazioni metodologiche previste nei successivi articoli.</w:t>
      </w:r>
    </w:p>
    <w:p w14:paraId="42275CEF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2 — CONDIZIONI DI ATTIVAZIONE E SOGLIE DI FRANCHIGIA</w:t>
      </w:r>
    </w:p>
    <w:p w14:paraId="7B2519F5" w14:textId="09F9A544" w:rsidR="00185980" w:rsidRPr="00E40F50" w:rsidRDefault="00185980" w:rsidP="00EB6E3F">
      <w:pPr>
        <w:numPr>
          <w:ilvl w:val="0"/>
          <w:numId w:val="3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Ai sensi dell’art. 60, comma 2 del </w:t>
      </w:r>
      <w:r w:rsidR="00E40F50"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D.lgs.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36/2023 e dell'Allegato II.2-bis, la revisione dei prezzi si attiva 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obbligatoriamente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al verificarsi delle seguenti condizioni:</w:t>
      </w:r>
    </w:p>
    <w:p w14:paraId="5961C3BD" w14:textId="24C245DA" w:rsidR="00185980" w:rsidRPr="00E40F50" w:rsidRDefault="00185980" w:rsidP="00EB6E3F">
      <w:pPr>
        <w:numPr>
          <w:ilvl w:val="1"/>
          <w:numId w:val="10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Soglia di attivazione (Alea normale):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La variazione complessiva del costo della prestazione residua deve risultare 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 xml:space="preserve">superiore al </w:t>
      </w:r>
      <w:r w:rsidR="00200A4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 xml:space="preserve">3% per lavori e al 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5%</w:t>
      </w:r>
      <w:r w:rsidR="00200A4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 xml:space="preserve"> per servizi e forniture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rispetto all'importo originario del contratto (o rispetto all'ultimo prezzo revisionato).</w:t>
      </w:r>
    </w:p>
    <w:p w14:paraId="169F0DB1" w14:textId="08FCD9D2" w:rsidR="00185980" w:rsidRPr="00E40F50" w:rsidRDefault="00185980" w:rsidP="00EB6E3F">
      <w:pPr>
        <w:numPr>
          <w:ilvl w:val="1"/>
          <w:numId w:val="10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Misura della compensazione: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La revisione è riconosciuta nella misura dell’</w:t>
      </w:r>
      <w:r w:rsidR="00200A4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9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0%</w:t>
      </w:r>
      <w:r w:rsidR="00200A4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 xml:space="preserve"> per lavori e dell’80% per servizi e forniture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 xml:space="preserve"> del valore eccedente</w:t>
      </w: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la soglia del 5%.</w:t>
      </w:r>
    </w:p>
    <w:p w14:paraId="6EDD0595" w14:textId="77777777" w:rsidR="00185980" w:rsidRPr="00E40F50" w:rsidRDefault="00185980" w:rsidP="00EB6E3F">
      <w:pPr>
        <w:numPr>
          <w:ilvl w:val="0"/>
          <w:numId w:val="3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E40F50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lastRenderedPageBreak/>
        <w:t>Il primo 5% di variazione (aumento o diminuzione) costituisce l'alea normale del contratto ed è calcolato a totale carico dell'Operatore Economico (in caso di aumento) o della Stazione Appaltante (in caso di ribasso).</w:t>
      </w:r>
    </w:p>
    <w:p w14:paraId="2C027479" w14:textId="77777777" w:rsidR="00200A4A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3 — INDICI DI RIFERIMENTO</w:t>
      </w:r>
    </w:p>
    <w:p w14:paraId="4803F440" w14:textId="2749445B" w:rsidR="00185980" w:rsidRDefault="00185980" w:rsidP="00EB6E3F">
      <w:pPr>
        <w:numPr>
          <w:ilvl w:val="0"/>
          <w:numId w:val="4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Per la determinazione della variazione dei prezzi si applicano gli indici sintetici ed analitici pubblicati dall'ISTAT con cadenza semestrale/annuale, resi disponibili tramite il portale dell'ANAC o del Ministero delle Infrastrutture e dei Trasporti ai sensi dell'art. 60, comma 3 del Codice.</w:t>
      </w:r>
    </w:p>
    <w:p w14:paraId="40D00EBB" w14:textId="65D8B6F6" w:rsidR="00200A4A" w:rsidRPr="00200A4A" w:rsidRDefault="00200A4A" w:rsidP="00200A4A">
      <w:pPr>
        <w:spacing w:before="100" w:beforeAutospacing="1" w:line="360" w:lineRule="auto"/>
        <w:ind w:left="720"/>
        <w:rPr>
          <w:rFonts w:ascii="Atkinson Hyperlegible" w:eastAsia="Times New Roman" w:hAnsi="Atkinson Hyperlegible" w:cs="Times New Roman"/>
          <w:color w:val="1F1F1F"/>
          <w:sz w:val="22"/>
          <w:szCs w:val="22"/>
          <w:u w:val="single"/>
        </w:rPr>
      </w:pP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  <w:u w:val="single"/>
        </w:rPr>
        <w:t>3.1 Quadro differenziato per tipologia contrattuale</w:t>
      </w:r>
    </w:p>
    <w:tbl>
      <w:tblPr>
        <w:tblW w:w="9360" w:type="dxa"/>
        <w:tblBorders>
          <w:top w:val="single" w:sz="6" w:space="0" w:color="CBD5E0"/>
          <w:left w:val="single" w:sz="6" w:space="0" w:color="CBD5E0"/>
          <w:bottom w:val="single" w:sz="6" w:space="0" w:color="CBD5E0"/>
          <w:right w:val="single" w:sz="6" w:space="0" w:color="CBD5E0"/>
          <w:insideH w:val="single" w:sz="6" w:space="0" w:color="CBD5E0"/>
          <w:insideV w:val="single" w:sz="6" w:space="0" w:color="CBD5E0"/>
        </w:tblBorders>
        <w:tblLayout w:type="fixed"/>
        <w:tblLook w:val="0600" w:firstRow="0" w:lastRow="0" w:firstColumn="0" w:lastColumn="0" w:noHBand="1" w:noVBand="1"/>
      </w:tblPr>
      <w:tblGrid>
        <w:gridCol w:w="1977"/>
        <w:gridCol w:w="4394"/>
        <w:gridCol w:w="2989"/>
      </w:tblGrid>
      <w:tr w:rsidR="00FE0B6F" w:rsidRPr="00FE0B6F" w14:paraId="65719A92" w14:textId="77777777" w:rsidTr="00FE0B6F">
        <w:trPr>
          <w:trHeight w:val="439"/>
          <w:tblHeader/>
        </w:trPr>
        <w:tc>
          <w:tcPr>
            <w:tcW w:w="1977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46792996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Tipologia di Contratto</w:t>
            </w:r>
          </w:p>
        </w:tc>
        <w:tc>
          <w:tcPr>
            <w:tcW w:w="439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313D3C68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Indice ISTAT/ANAC/MIT Applicabile</w:t>
            </w:r>
          </w:p>
        </w:tc>
        <w:tc>
          <w:tcPr>
            <w:tcW w:w="2989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15431E40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Criteri di Calcolo specifici</w:t>
            </w:r>
          </w:p>
          <w:p w14:paraId="4AEC4721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 xml:space="preserve"> </w:t>
            </w:r>
          </w:p>
        </w:tc>
      </w:tr>
      <w:tr w:rsidR="00FE0B6F" w:rsidRPr="00FE0B6F" w14:paraId="15A9CE3B" w14:textId="77777777" w:rsidTr="00FE0B6F">
        <w:tc>
          <w:tcPr>
            <w:tcW w:w="1977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5243CE38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Lavori Pubblici</w:t>
            </w:r>
          </w:p>
        </w:tc>
        <w:tc>
          <w:tcPr>
            <w:tcW w:w="439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0E4B2BDD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Indici sintetici del costo di costruzione (per tipologia di opera) e indici analitici delle principali lavorazioni/materiali.</w:t>
            </w:r>
          </w:p>
        </w:tc>
        <w:tc>
          <w:tcPr>
            <w:tcW w:w="2989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74DE77E0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Applicazione ai SAL sui prezzi unitari delle prestazioni residue ancora da eseguire.</w:t>
            </w:r>
          </w:p>
        </w:tc>
      </w:tr>
      <w:tr w:rsidR="00FE0B6F" w:rsidRPr="00FE0B6F" w14:paraId="72E2B1D8" w14:textId="77777777" w:rsidTr="00FE0B6F">
        <w:tc>
          <w:tcPr>
            <w:tcW w:w="1977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2E5958AB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Servizi e Forniture</w:t>
            </w:r>
          </w:p>
        </w:tc>
        <w:tc>
          <w:tcPr>
            <w:tcW w:w="439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34AB6A8B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Indici ISTAT dei prezzi al consumo per famiglie di operai e impiegati (FOI) al netto dei tabacchi o indici dei prezzi alla produzione di settore.</w:t>
            </w:r>
          </w:p>
        </w:tc>
        <w:tc>
          <w:tcPr>
            <w:tcW w:w="2989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2F2328D8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Valutazione sull'importo del canone/corrispettivo per le prestazioni di forniture o servizi residue.</w:t>
            </w:r>
          </w:p>
        </w:tc>
      </w:tr>
      <w:tr w:rsidR="00FE0B6F" w:rsidRPr="00FE0B6F" w14:paraId="2F3A03BE" w14:textId="77777777" w:rsidTr="00FE0B6F">
        <w:tc>
          <w:tcPr>
            <w:tcW w:w="1977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7DCDA154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  <w:b/>
                <w:bCs/>
              </w:rPr>
            </w:pPr>
            <w:r w:rsidRPr="00FE0B6F">
              <w:rPr>
                <w:rFonts w:ascii="Atkinson Hyperlegible" w:hAnsi="Atkinson Hyperlegible"/>
                <w:b/>
                <w:bCs/>
              </w:rPr>
              <w:t>Servizi di Ingegneria e Architettura (SIA) e Prestazioni Professionali</w:t>
            </w:r>
          </w:p>
        </w:tc>
        <w:tc>
          <w:tcPr>
            <w:tcW w:w="4394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54B30914" w14:textId="7777777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Indice del costo del lavoro nel settore delle prestazioni professionali e dell'ingegneria, unito all'indice FOI.</w:t>
            </w:r>
          </w:p>
        </w:tc>
        <w:tc>
          <w:tcPr>
            <w:tcW w:w="2989" w:type="dxa"/>
            <w:tcBorders>
              <w:top w:val="single" w:sz="6" w:space="0" w:color="CBD5E0"/>
              <w:left w:val="single" w:sz="6" w:space="0" w:color="CBD5E0"/>
              <w:bottom w:val="single" w:sz="6" w:space="0" w:color="CBD5E0"/>
              <w:right w:val="single" w:sz="6" w:space="0" w:color="CBD5E0"/>
            </w:tcBorders>
            <w:shd w:val="clear" w:color="auto" w:fill="auto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73701DF4" w14:textId="296F5487" w:rsidR="00200A4A" w:rsidRPr="00FE0B6F" w:rsidRDefault="00200A4A" w:rsidP="00BF7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60"/>
              <w:rPr>
                <w:rFonts w:ascii="Atkinson Hyperlegible" w:hAnsi="Atkinson Hyperlegible"/>
              </w:rPr>
            </w:pPr>
            <w:r w:rsidRPr="00FE0B6F">
              <w:rPr>
                <w:rFonts w:ascii="Atkinson Hyperlegible" w:hAnsi="Atkinson Hyperlegible"/>
              </w:rPr>
              <w:t>Applicazione parametrata garantendo il rispetto dell'</w:t>
            </w:r>
            <w:r w:rsidRPr="00FE0B6F">
              <w:rPr>
                <w:rFonts w:ascii="Atkinson Hyperlegible" w:hAnsi="Atkinson Hyperlegible"/>
                <w:b/>
                <w:bCs/>
              </w:rPr>
              <w:t>Equo Compenso</w:t>
            </w:r>
            <w:r w:rsidRPr="00FE0B6F">
              <w:rPr>
                <w:rFonts w:ascii="Atkinson Hyperlegible" w:hAnsi="Atkinson Hyperlegible"/>
              </w:rPr>
              <w:t xml:space="preserve"> (L. 49/2023 e art. 41, c. 15-quater </w:t>
            </w:r>
            <w:r w:rsidRPr="00FE0B6F">
              <w:rPr>
                <w:rFonts w:ascii="Atkinson Hyperlegible" w:hAnsi="Atkinson Hyperlegible"/>
              </w:rPr>
              <w:t>D.lgs.</w:t>
            </w:r>
            <w:r w:rsidRPr="00FE0B6F">
              <w:rPr>
                <w:rFonts w:ascii="Atkinson Hyperlegible" w:hAnsi="Atkinson Hyperlegible"/>
              </w:rPr>
              <w:t xml:space="preserve"> 36/2023).</w:t>
            </w:r>
          </w:p>
        </w:tc>
      </w:tr>
    </w:tbl>
    <w:p w14:paraId="64685EAC" w14:textId="77777777" w:rsidR="00200A4A" w:rsidRPr="00200A4A" w:rsidRDefault="00185980" w:rsidP="00EB6E3F">
      <w:pPr>
        <w:numPr>
          <w:ilvl w:val="0"/>
          <w:numId w:val="4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  <w:u w:val="single"/>
        </w:rPr>
        <w:lastRenderedPageBreak/>
        <w:t>Formula applicativa</w:t>
      </w:r>
      <w:r w:rsidR="00200A4A">
        <w:rPr>
          <w:rFonts w:ascii="Atkinson Hyperlegible" w:eastAsia="Times New Roman" w:hAnsi="Atkinson Hyperlegible" w:cs="Times New Roman"/>
          <w:color w:val="1F1F1F"/>
          <w:sz w:val="22"/>
          <w:szCs w:val="22"/>
          <w:u w:val="single"/>
        </w:rPr>
        <w:t xml:space="preserve"> unificata</w:t>
      </w:r>
    </w:p>
    <w:p w14:paraId="44404F56" w14:textId="588794E8" w:rsidR="00185980" w:rsidRPr="002954BF" w:rsidRDefault="00185980" w:rsidP="00EB6E3F">
      <w:pPr>
        <w:numPr>
          <w:ilvl w:val="0"/>
          <w:numId w:val="4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La compensazione revisionale (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R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) da applicare all'importo delle prestazioni residue (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P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) è calcolata come segue:</w:t>
      </w:r>
    </w:p>
    <w:p w14:paraId="72306AFC" w14:textId="77777777" w:rsidR="00185980" w:rsidRDefault="00185980" w:rsidP="00185980">
      <w:pPr>
        <w:spacing w:line="360" w:lineRule="auto"/>
        <w:jc w:val="both"/>
        <w:rPr>
          <w:rFonts w:ascii="Atkinson Hyperlegible" w:eastAsia="Times New Roman" w:hAnsi="Atkinson Hyperlegible" w:cs="Times New Roman"/>
          <w:i/>
          <w:iCs/>
          <w:color w:val="1F1F1F"/>
          <w:bdr w:val="none" w:sz="0" w:space="0" w:color="auto" w:frame="1"/>
        </w:rPr>
      </w:pPr>
    </w:p>
    <w:p w14:paraId="46853018" w14:textId="77777777" w:rsidR="00185980" w:rsidRDefault="00185980" w:rsidP="00185980">
      <w:pPr>
        <w:spacing w:line="360" w:lineRule="auto"/>
        <w:jc w:val="center"/>
        <w:rPr>
          <w:rFonts w:ascii="Atkinson Hyperlegible" w:eastAsia="Times New Roman" w:hAnsi="Atkinson Hyperlegible" w:cs="Times New Roman"/>
          <w:i/>
          <w:iCs/>
          <w:color w:val="1F1F1F"/>
          <w:bdr w:val="none" w:sz="0" w:space="0" w:color="auto" w:frame="1"/>
        </w:rPr>
      </w:pPr>
      <w:r>
        <w:rPr>
          <w:rFonts w:ascii="Atkinson Hyperlegible" w:eastAsia="Times New Roman" w:hAnsi="Atkinson Hyperlegible" w:cs="Times New Roman"/>
          <w:i/>
          <w:iCs/>
          <w:noProof/>
          <w:color w:val="1F1F1F"/>
          <w:bdr w:val="none" w:sz="0" w:space="0" w:color="auto" w:frame="1"/>
        </w:rPr>
        <w:drawing>
          <wp:inline distT="0" distB="0" distL="0" distR="0" wp14:anchorId="6C7FC6C5" wp14:editId="1EA46FE9">
            <wp:extent cx="2736980" cy="766354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001" cy="77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2EDF2" w14:textId="77777777" w:rsidR="00185980" w:rsidRPr="002954BF" w:rsidRDefault="00185980" w:rsidP="00185980">
      <w:pPr>
        <w:spacing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i/>
          <w:iCs/>
          <w:color w:val="1F1F1F"/>
          <w:sz w:val="22"/>
          <w:szCs w:val="22"/>
          <w:bdr w:val="none" w:sz="0" w:space="0" w:color="auto" w:frame="1"/>
        </w:rPr>
        <w:t>Dove:</w:t>
      </w:r>
    </w:p>
    <w:p w14:paraId="65BF45F6" w14:textId="77777777" w:rsidR="00185980" w:rsidRPr="002954BF" w:rsidRDefault="00185980" w:rsidP="00EB6E3F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P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= Importo delle prestazioni/prestazioni professionali residue da eseguire;</w:t>
      </w:r>
    </w:p>
    <w:p w14:paraId="75EBE1AE" w14:textId="77777777" w:rsidR="00185980" w:rsidRPr="002954BF" w:rsidRDefault="00185980" w:rsidP="00EB6E3F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I</w:t>
      </w:r>
      <w:r w:rsidRPr="002954BF">
        <w:rPr>
          <w:rFonts w:ascii="Atkinson Hyperlegible" w:eastAsia="Times New Roman" w:hAnsi="Atkinson Hyperlegible" w:cs="Times New Roman"/>
          <w:color w:val="1F1F1F"/>
          <w:bdr w:val="none" w:sz="0" w:space="0" w:color="auto" w:frame="1"/>
          <w:vertAlign w:val="subscript"/>
        </w:rPr>
        <w:t>0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= Indice ufficiale di riferimento alla data di presentazione dell'offerta;</w:t>
      </w:r>
    </w:p>
    <w:p w14:paraId="753DBEF4" w14:textId="77777777" w:rsidR="00185980" w:rsidRPr="002954BF" w:rsidRDefault="00185980" w:rsidP="00EB6E3F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proofErr w:type="spellStart"/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I</w:t>
      </w:r>
      <w:r w:rsidRPr="009E6045">
        <w:rPr>
          <w:rFonts w:ascii="Atkinson Hyperlegible" w:eastAsia="Times New Roman" w:hAnsi="Atkinson Hyperlegible" w:cs="Times New Roman"/>
          <w:color w:val="1F1F1F"/>
          <w:bdr w:val="none" w:sz="0" w:space="0" w:color="auto" w:frame="1"/>
          <w:vertAlign w:val="subscript"/>
        </w:rPr>
        <w:t>t</w:t>
      </w:r>
      <w:proofErr w:type="spellEnd"/>
      <w:r w:rsidRPr="009E6045">
        <w:rPr>
          <w:rFonts w:ascii="Atkinson Hyperlegible" w:eastAsia="Times New Roman" w:hAnsi="Atkinson Hyperlegible" w:cs="Times New Roman"/>
          <w:color w:val="1F1F1F"/>
          <w:sz w:val="22"/>
          <w:szCs w:val="22"/>
          <w:vertAlign w:val="subscript"/>
        </w:rPr>
        <w:t xml:space="preserve"> 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= Indice ufficiale di riferimento al momento della richiesta di revisione.</w:t>
      </w:r>
    </w:p>
    <w:p w14:paraId="5CD38276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4 — PROCEDIMENTO E TERMINI DI PRESENTAZIONE</w:t>
      </w:r>
    </w:p>
    <w:p w14:paraId="3940D165" w14:textId="77777777" w:rsidR="00185980" w:rsidRPr="002954BF" w:rsidRDefault="00185980" w:rsidP="00EB6E3F">
      <w:pPr>
        <w:numPr>
          <w:ilvl w:val="0"/>
          <w:numId w:val="6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Il procedimento di revisione prezzi è attivato:</w:t>
      </w:r>
    </w:p>
    <w:p w14:paraId="06ADD215" w14:textId="77777777" w:rsidR="00185980" w:rsidRPr="00C2151A" w:rsidRDefault="00185980" w:rsidP="00EB6E3F">
      <w:pPr>
        <w:numPr>
          <w:ilvl w:val="1"/>
          <w:numId w:val="11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D'ufficio:</w:t>
      </w: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dal Responsabile Unico del Progetto (RUP) in occasione della rendicontazione o emissione dei SAL/Stati di Avanzamento;</w:t>
      </w:r>
    </w:p>
    <w:p w14:paraId="5561208E" w14:textId="77777777" w:rsidR="00185980" w:rsidRPr="00C2151A" w:rsidRDefault="00185980" w:rsidP="00EB6E3F">
      <w:pPr>
        <w:numPr>
          <w:ilvl w:val="1"/>
          <w:numId w:val="11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Su istanza di parte:</w:t>
      </w: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presentata dall'Operatore Economico a mezzo PEC entro e non oltre </w:t>
      </w: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60 giorni</w:t>
      </w:r>
      <w:r w:rsidRPr="00C2151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dalla pubblicazione degli indici ufficiali ISTAT relativi al periodo di esecuzione di riferimento.</w:t>
      </w:r>
    </w:p>
    <w:p w14:paraId="0A2AD8E2" w14:textId="77777777" w:rsidR="00185980" w:rsidRPr="002954BF" w:rsidRDefault="00185980" w:rsidP="00EB6E3F">
      <w:pPr>
        <w:numPr>
          <w:ilvl w:val="0"/>
          <w:numId w:val="6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L'istanza dell'Operatore Economico deve contenere, a pena di inammissibilità:</w:t>
      </w:r>
    </w:p>
    <w:p w14:paraId="28CEFBCB" w14:textId="77777777" w:rsidR="00185980" w:rsidRPr="002954BF" w:rsidRDefault="00185980" w:rsidP="00EB6E3F">
      <w:pPr>
        <w:numPr>
          <w:ilvl w:val="1"/>
          <w:numId w:val="12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La documentazione analitica e i conteggi dimostrativi del superamento della soglia del 5%;</w:t>
      </w:r>
    </w:p>
    <w:p w14:paraId="279E5C3C" w14:textId="77777777" w:rsidR="00185980" w:rsidRPr="002954BF" w:rsidRDefault="00185980" w:rsidP="00EB6E3F">
      <w:pPr>
        <w:numPr>
          <w:ilvl w:val="1"/>
          <w:numId w:val="12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Lo stato di avanzamento delle prestazioni effettivamente eseguite e di quelle ancora da eseguire.</w:t>
      </w:r>
    </w:p>
    <w:p w14:paraId="01453A33" w14:textId="77777777" w:rsidR="00185980" w:rsidRPr="002954BF" w:rsidRDefault="00185980" w:rsidP="00EB6E3F">
      <w:pPr>
        <w:numPr>
          <w:ilvl w:val="0"/>
          <w:numId w:val="6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lastRenderedPageBreak/>
        <w:t>Il RUP conclude l'istruttoria entro 30 giorni dalla ricezione dell'istanza o dalla disponibilità degli indici ufficiali, adottando il provvedimento di riconoscimento o rigetto.</w:t>
      </w:r>
    </w:p>
    <w:p w14:paraId="57D6662E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5 — ESCLUSIONI E LIMITAZIONI</w:t>
      </w:r>
    </w:p>
    <w:p w14:paraId="571AE0A1" w14:textId="77777777" w:rsidR="00185980" w:rsidRPr="002954BF" w:rsidRDefault="00185980" w:rsidP="00EB6E3F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La revisione dei prezzi </w:t>
      </w: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non è dovuta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:</w:t>
      </w:r>
    </w:p>
    <w:p w14:paraId="3D2877B3" w14:textId="77777777" w:rsidR="00185980" w:rsidRPr="002954BF" w:rsidRDefault="00185980" w:rsidP="00EB6E3F">
      <w:pPr>
        <w:numPr>
          <w:ilvl w:val="1"/>
          <w:numId w:val="13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Per le prestazioni eseguite in ritardo rispetto al cronoprogramma contrattuale, qualora il ritardo sia imputabile a colpa dell'Operatore Economico;</w:t>
      </w:r>
    </w:p>
    <w:p w14:paraId="5484E77E" w14:textId="77777777" w:rsidR="00185980" w:rsidRPr="002954BF" w:rsidRDefault="00185980" w:rsidP="00EB6E3F">
      <w:pPr>
        <w:numPr>
          <w:ilvl w:val="1"/>
          <w:numId w:val="13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Qualora l'istanza sia presentata oltre i termini di decadenza indicati all'Art. 4.</w:t>
      </w:r>
    </w:p>
    <w:p w14:paraId="09B1A1F8" w14:textId="77777777" w:rsidR="00185980" w:rsidRPr="002954BF" w:rsidRDefault="00185980" w:rsidP="00EB6E3F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In caso di revisione in diminuzione (deflezione dei prezzi superiori al 5%), la Stazione Appaltante procede al conguaglio a valere sui successivi pagamenti spettanti all'esecutore.</w:t>
      </w:r>
    </w:p>
    <w:p w14:paraId="7E9F6EB9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6 — COPERTURA FINANZIARIA</w:t>
      </w:r>
    </w:p>
    <w:p w14:paraId="4567A1EC" w14:textId="77777777" w:rsidR="00185980" w:rsidRPr="002954BF" w:rsidRDefault="00185980" w:rsidP="00EB6E3F">
      <w:pPr>
        <w:numPr>
          <w:ilvl w:val="0"/>
          <w:numId w:val="8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Agli oneri derivanti dall'applicazione della presente clausola si provvede ai sensi dell'art. 60, comma 5 del </w:t>
      </w:r>
      <w:r w:rsidRPr="002954BF">
        <w:rPr>
          <w:rFonts w:ascii="Atkinson Hyperlegible" w:eastAsia="Times New Roman" w:hAnsi="Atkinson Hyperlegible" w:cs="Times New Roman"/>
          <w:color w:val="1F1F1F"/>
        </w:rPr>
        <w:t>D.lgs.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36/2023, nei limiti delle risorse disponibili:</w:t>
      </w:r>
    </w:p>
    <w:p w14:paraId="33BBB82C" w14:textId="77777777" w:rsidR="00185980" w:rsidRPr="002954BF" w:rsidRDefault="00185980" w:rsidP="00200A4A">
      <w:pPr>
        <w:spacing w:before="100" w:beforeAutospacing="1" w:line="360" w:lineRule="auto"/>
        <w:ind w:left="1080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a) Utilizzando la quota del 50% dell'accantonamento per imprevisti presente nel Quadro Economico dell'intervento;</w:t>
      </w:r>
    </w:p>
    <w:p w14:paraId="439536DE" w14:textId="77777777" w:rsidR="00185980" w:rsidRPr="002954BF" w:rsidRDefault="00185980" w:rsidP="00200A4A">
      <w:pPr>
        <w:spacing w:before="100" w:beforeAutospacing="1" w:line="360" w:lineRule="auto"/>
        <w:ind w:left="1080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b) Utilizzando le eventuali economie derivanti da ribassi d'asta;</w:t>
      </w:r>
    </w:p>
    <w:p w14:paraId="4E66B60B" w14:textId="77777777" w:rsidR="00185980" w:rsidRPr="002954BF" w:rsidRDefault="00185980" w:rsidP="00200A4A">
      <w:pPr>
        <w:spacing w:before="100" w:beforeAutospacing="1" w:line="360" w:lineRule="auto"/>
        <w:ind w:left="1080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>c) Mediante rimodulazione delle somme a disposizione della Stazione Appaltante.</w:t>
      </w:r>
    </w:p>
    <w:p w14:paraId="5562A434" w14:textId="77777777" w:rsidR="00185980" w:rsidRPr="002954BF" w:rsidRDefault="00185980" w:rsidP="00185980">
      <w:pPr>
        <w:spacing w:before="100" w:beforeAutospacing="1" w:line="360" w:lineRule="auto"/>
        <w:jc w:val="both"/>
        <w:outlineLvl w:val="3"/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b/>
          <w:bCs/>
          <w:color w:val="1F1F1F"/>
          <w:sz w:val="22"/>
          <w:szCs w:val="22"/>
          <w:bdr w:val="none" w:sz="0" w:space="0" w:color="auto" w:frame="1"/>
        </w:rPr>
        <w:t>ART. 7 — TUTELA DEL SALARIO E EQUO COMPENSO</w:t>
      </w:r>
    </w:p>
    <w:p w14:paraId="4442416C" w14:textId="77777777" w:rsidR="00185980" w:rsidRPr="002954BF" w:rsidRDefault="00185980" w:rsidP="00EB6E3F">
      <w:pPr>
        <w:numPr>
          <w:ilvl w:val="0"/>
          <w:numId w:val="9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L'applicazione della revisione prezzi non può in alcun caso comportare la violazione delle tutele sul costo minimo della manodopera e sui contratti collettivi nazionali di lavoro (art. 11 </w:t>
      </w:r>
      <w:r w:rsidRPr="002954BF">
        <w:rPr>
          <w:rFonts w:ascii="Atkinson Hyperlegible" w:eastAsia="Times New Roman" w:hAnsi="Atkinson Hyperlegible" w:cs="Times New Roman"/>
          <w:color w:val="1F1F1F"/>
        </w:rPr>
        <w:t>D.lgs.</w:t>
      </w: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36/2023).</w:t>
      </w:r>
    </w:p>
    <w:p w14:paraId="3CD4A09B" w14:textId="77777777" w:rsidR="00185980" w:rsidRPr="00200A4A" w:rsidRDefault="00185980" w:rsidP="00EB6E3F">
      <w:pPr>
        <w:numPr>
          <w:ilvl w:val="0"/>
          <w:numId w:val="9"/>
        </w:numPr>
        <w:spacing w:before="100" w:beforeAutospacing="1" w:line="360" w:lineRule="auto"/>
        <w:jc w:val="both"/>
        <w:rPr>
          <w:rFonts w:ascii="Atkinson Hyperlegible" w:eastAsia="Times New Roman" w:hAnsi="Atkinson Hyperlegible" w:cs="Times New Roman"/>
          <w:color w:val="1F1F1F"/>
          <w:sz w:val="22"/>
          <w:szCs w:val="22"/>
        </w:rPr>
      </w:pPr>
      <w:r w:rsidRPr="002954BF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lastRenderedPageBreak/>
        <w:t xml:space="preserve">Per i Servizi di Ingegneria e Architettura e le prestazioni professionali, la revisione prezzi in diminuzione non può condurre alla violazione dei </w:t>
      </w: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principi in materia di </w:t>
      </w: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  <w:bdr w:val="none" w:sz="0" w:space="0" w:color="auto" w:frame="1"/>
        </w:rPr>
        <w:t>Equo Compenso</w:t>
      </w: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(Legge n. 49/2023 e art. 41, c. 15-quater </w:t>
      </w:r>
      <w:r w:rsidRPr="00200A4A">
        <w:rPr>
          <w:rFonts w:ascii="Atkinson Hyperlegible" w:eastAsia="Times New Roman" w:hAnsi="Atkinson Hyperlegible" w:cs="Times New Roman"/>
          <w:color w:val="1F1F1F"/>
        </w:rPr>
        <w:t>D.lgs.</w:t>
      </w:r>
      <w:r w:rsidRPr="00200A4A">
        <w:rPr>
          <w:rFonts w:ascii="Atkinson Hyperlegible" w:eastAsia="Times New Roman" w:hAnsi="Atkinson Hyperlegible" w:cs="Times New Roman"/>
          <w:color w:val="1F1F1F"/>
          <w:sz w:val="22"/>
          <w:szCs w:val="22"/>
        </w:rPr>
        <w:t xml:space="preserve"> 36/2023), garantendo in ogni caso l'inderogabilità dei parametri ministeriali previsti per la determinazione dei corrispettivi posti a base di gara.</w:t>
      </w:r>
    </w:p>
    <w:p w14:paraId="44222204" w14:textId="77777777" w:rsidR="00185980" w:rsidRPr="002954BF" w:rsidRDefault="00185980" w:rsidP="00185980">
      <w:pPr>
        <w:spacing w:line="360" w:lineRule="auto"/>
        <w:jc w:val="both"/>
        <w:rPr>
          <w:rFonts w:ascii="Atkinson Hyperlegible" w:hAnsi="Atkinson Hyperlegible"/>
          <w:sz w:val="22"/>
          <w:szCs w:val="22"/>
        </w:rPr>
      </w:pPr>
    </w:p>
    <w:p w14:paraId="1E2183B7" w14:textId="33266359" w:rsidR="00A0015F" w:rsidRPr="00185980" w:rsidRDefault="00A0015F" w:rsidP="00185980"/>
    <w:sectPr w:rsidR="00A0015F" w:rsidRPr="00185980" w:rsidSect="00FE0B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2836" w:right="1134" w:bottom="2835" w:left="1134" w:header="709" w:footer="8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37277" w14:textId="77777777" w:rsidR="00EB6E3F" w:rsidRDefault="00EB6E3F">
      <w:r>
        <w:separator/>
      </w:r>
    </w:p>
  </w:endnote>
  <w:endnote w:type="continuationSeparator" w:id="0">
    <w:p w14:paraId="01E14AA9" w14:textId="77777777" w:rsidR="00EB6E3F" w:rsidRDefault="00EB6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tkinson Hyperlegible">
    <w:panose1 w:val="00000000000000000000"/>
    <w:charset w:val="00"/>
    <w:family w:val="auto"/>
    <w:pitch w:val="variable"/>
    <w:sig w:usb0="800000EF" w:usb1="0000204B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31D58" w14:textId="77777777" w:rsidR="00F71410" w:rsidRDefault="00F714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B4DBB" w14:textId="4D3FA79B" w:rsidR="00F71410" w:rsidRDefault="00101F86">
    <w:pPr>
      <w:pBdr>
        <w:top w:val="nil"/>
        <w:left w:val="nil"/>
        <w:bottom w:val="nil"/>
        <w:right w:val="nil"/>
        <w:between w:val="nil"/>
      </w:pBdr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>Procurement e Supporto amministrativo</w:t>
    </w:r>
  </w:p>
  <w:p w14:paraId="1BA1DC5F" w14:textId="07159F47" w:rsidR="00F71410" w:rsidRDefault="00101F86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color w:val="000000"/>
        <w:sz w:val="18"/>
        <w:szCs w:val="18"/>
      </w:rPr>
      <w:t>Gestione del Patrimonio</w:t>
    </w:r>
    <w:r w:rsidR="00BE73BA">
      <w:rPr>
        <w:color w:val="000000"/>
        <w:sz w:val="18"/>
        <w:szCs w:val="18"/>
      </w:rPr>
      <w:t xml:space="preserve"> – </w:t>
    </w:r>
    <w:r>
      <w:rPr>
        <w:color w:val="000000"/>
        <w:sz w:val="18"/>
        <w:szCs w:val="18"/>
      </w:rPr>
      <w:t>Area Edilizia, Sicurezza e Sostenibilità</w:t>
    </w:r>
  </w:p>
  <w:p w14:paraId="4BDFC916" w14:textId="6E41C633" w:rsidR="00F71410" w:rsidRDefault="00BE73B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Palazzo </w:t>
    </w:r>
    <w:r w:rsidR="00101F86">
      <w:rPr>
        <w:color w:val="000000"/>
        <w:sz w:val="18"/>
        <w:szCs w:val="18"/>
      </w:rPr>
      <w:t>Veterani</w:t>
    </w:r>
    <w:r>
      <w:rPr>
        <w:color w:val="000000"/>
        <w:sz w:val="18"/>
        <w:szCs w:val="18"/>
      </w:rPr>
      <w:t xml:space="preserve"> – Via </w:t>
    </w:r>
    <w:r w:rsidR="00101F86">
      <w:rPr>
        <w:color w:val="000000"/>
        <w:sz w:val="18"/>
        <w:szCs w:val="18"/>
      </w:rPr>
      <w:t>Veterani</w:t>
    </w:r>
    <w:r>
      <w:rPr>
        <w:color w:val="000000"/>
        <w:sz w:val="18"/>
        <w:szCs w:val="18"/>
      </w:rPr>
      <w:t xml:space="preserve">, </w:t>
    </w:r>
    <w:r w:rsidR="00101F86">
      <w:rPr>
        <w:color w:val="000000"/>
        <w:sz w:val="18"/>
        <w:szCs w:val="18"/>
      </w:rPr>
      <w:t>36</w:t>
    </w:r>
    <w:r>
      <w:rPr>
        <w:color w:val="000000"/>
        <w:sz w:val="18"/>
        <w:szCs w:val="18"/>
      </w:rPr>
      <w:t xml:space="preserve"> - 61029 Urbino PU – IT</w:t>
    </w:r>
  </w:p>
  <w:p w14:paraId="63323133" w14:textId="509A35B5" w:rsidR="00F71410" w:rsidRDefault="00BE73B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color w:val="000000"/>
        <w:sz w:val="18"/>
        <w:szCs w:val="18"/>
      </w:rPr>
      <w:t>Tel. +39 0722 30</w:t>
    </w:r>
    <w:r w:rsidR="00101F86">
      <w:rPr>
        <w:color w:val="000000"/>
        <w:sz w:val="18"/>
        <w:szCs w:val="18"/>
      </w:rPr>
      <w:t>5960</w:t>
    </w:r>
    <w:r>
      <w:rPr>
        <w:color w:val="000000"/>
        <w:sz w:val="18"/>
        <w:szCs w:val="18"/>
      </w:rPr>
      <w:t xml:space="preserve"> – </w:t>
    </w:r>
    <w:r w:rsidR="00B01FA5">
      <w:rPr>
        <w:color w:val="000000"/>
        <w:sz w:val="18"/>
        <w:szCs w:val="18"/>
      </w:rPr>
      <w:t>alessandra.caselli</w:t>
    </w:r>
    <w:r w:rsidRPr="00DC726E">
      <w:rPr>
        <w:color w:val="000000"/>
        <w:sz w:val="18"/>
        <w:szCs w:val="18"/>
      </w:rPr>
      <w:t>@uniurb.it</w:t>
    </w:r>
    <w:r>
      <w:rPr>
        <w:color w:val="000000"/>
        <w:sz w:val="18"/>
        <w:szCs w:val="18"/>
      </w:rPr>
      <w:t xml:space="preserve"> </w:t>
    </w:r>
  </w:p>
  <w:p w14:paraId="17965410" w14:textId="77777777" w:rsidR="00F71410" w:rsidRDefault="00F71410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  <w:p w14:paraId="7D2397D1" w14:textId="77777777" w:rsidR="00F71410" w:rsidRDefault="00F71410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  <w:p w14:paraId="59841AFF" w14:textId="77777777" w:rsidR="00F71410" w:rsidRDefault="00F71410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6268B" w14:textId="77777777" w:rsidR="00F71410" w:rsidRDefault="00F714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47FC4" w14:textId="77777777" w:rsidR="00EB6E3F" w:rsidRDefault="00EB6E3F">
      <w:r>
        <w:separator/>
      </w:r>
    </w:p>
  </w:footnote>
  <w:footnote w:type="continuationSeparator" w:id="0">
    <w:p w14:paraId="2ADE57C6" w14:textId="77777777" w:rsidR="00EB6E3F" w:rsidRDefault="00EB6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EDB4" w14:textId="77777777" w:rsidR="00F71410" w:rsidRDefault="00F714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2B2E0" w14:textId="77777777" w:rsidR="00F71410" w:rsidRDefault="00BE73B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5B7B38D2" wp14:editId="213FB9DD">
          <wp:simplePos x="0" y="0"/>
          <wp:positionH relativeFrom="page">
            <wp:posOffset>0</wp:posOffset>
          </wp:positionH>
          <wp:positionV relativeFrom="page">
            <wp:align>top</wp:align>
          </wp:positionV>
          <wp:extent cx="7545600" cy="10663200"/>
          <wp:effectExtent l="0" t="0" r="0" b="0"/>
          <wp:wrapNone/>
          <wp:docPr id="11" name="image1.png" descr="Immagine che contiene schermata, oscurità, spazio, luna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magine che contiene schermata, oscurità, spazio, luna&#10;&#10;Il contenuto generato dall'IA potrebbe non essere corret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5600" cy="1066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F1F1D" w14:textId="77777777" w:rsidR="00F71410" w:rsidRDefault="00F714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28E5"/>
    <w:multiLevelType w:val="multilevel"/>
    <w:tmpl w:val="3D9AC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643E7D"/>
    <w:multiLevelType w:val="multilevel"/>
    <w:tmpl w:val="E3EA2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̵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170F40"/>
    <w:multiLevelType w:val="multilevel"/>
    <w:tmpl w:val="6B40E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̵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8E1D25"/>
    <w:multiLevelType w:val="multilevel"/>
    <w:tmpl w:val="88AA4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FB0740"/>
    <w:multiLevelType w:val="multilevel"/>
    <w:tmpl w:val="9DBE0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E43C1"/>
    <w:multiLevelType w:val="multilevel"/>
    <w:tmpl w:val="F8D4A70C"/>
    <w:lvl w:ilvl="0">
      <w:start w:val="1"/>
      <w:numFmt w:val="bullet"/>
      <w:pStyle w:val="Puntoelenco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1B35716"/>
    <w:multiLevelType w:val="multilevel"/>
    <w:tmpl w:val="5D701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E40B74"/>
    <w:multiLevelType w:val="multilevel"/>
    <w:tmpl w:val="23280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713E45"/>
    <w:multiLevelType w:val="multilevel"/>
    <w:tmpl w:val="1A9AD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̵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4A164B"/>
    <w:multiLevelType w:val="multilevel"/>
    <w:tmpl w:val="F18E6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̵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707A4E"/>
    <w:multiLevelType w:val="multilevel"/>
    <w:tmpl w:val="B86CB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21EE4"/>
    <w:multiLevelType w:val="multilevel"/>
    <w:tmpl w:val="7B62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108C5"/>
    <w:multiLevelType w:val="multilevel"/>
    <w:tmpl w:val="329A9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2"/>
  </w:num>
  <w:num w:numId="11">
    <w:abstractNumId w:val="9"/>
  </w:num>
  <w:num w:numId="12">
    <w:abstractNumId w:val="8"/>
  </w:num>
  <w:num w:numId="13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410"/>
    <w:rsid w:val="00006938"/>
    <w:rsid w:val="00042324"/>
    <w:rsid w:val="0004400E"/>
    <w:rsid w:val="000467A9"/>
    <w:rsid w:val="00050C97"/>
    <w:rsid w:val="0006782A"/>
    <w:rsid w:val="00094954"/>
    <w:rsid w:val="000A3DF8"/>
    <w:rsid w:val="000B13D1"/>
    <w:rsid w:val="000B556F"/>
    <w:rsid w:val="000B6B8D"/>
    <w:rsid w:val="000B7183"/>
    <w:rsid w:val="000C69C4"/>
    <w:rsid w:val="000D1C6E"/>
    <w:rsid w:val="000D5F3A"/>
    <w:rsid w:val="000E5307"/>
    <w:rsid w:val="000F185D"/>
    <w:rsid w:val="000F1D94"/>
    <w:rsid w:val="00101F86"/>
    <w:rsid w:val="00113CC4"/>
    <w:rsid w:val="001529DB"/>
    <w:rsid w:val="00152BF1"/>
    <w:rsid w:val="001745D0"/>
    <w:rsid w:val="00185980"/>
    <w:rsid w:val="001A51AC"/>
    <w:rsid w:val="001C55FC"/>
    <w:rsid w:val="001D1191"/>
    <w:rsid w:val="001D57F9"/>
    <w:rsid w:val="001E64D7"/>
    <w:rsid w:val="00200A4A"/>
    <w:rsid w:val="00207F77"/>
    <w:rsid w:val="00220E10"/>
    <w:rsid w:val="00223343"/>
    <w:rsid w:val="00236779"/>
    <w:rsid w:val="00236C04"/>
    <w:rsid w:val="0028054F"/>
    <w:rsid w:val="00296C7C"/>
    <w:rsid w:val="002B313B"/>
    <w:rsid w:val="002B3CC4"/>
    <w:rsid w:val="002B7086"/>
    <w:rsid w:val="002D4A06"/>
    <w:rsid w:val="002E3C7F"/>
    <w:rsid w:val="002F22CF"/>
    <w:rsid w:val="002F7EE5"/>
    <w:rsid w:val="00321047"/>
    <w:rsid w:val="00323F84"/>
    <w:rsid w:val="00331282"/>
    <w:rsid w:val="0033443F"/>
    <w:rsid w:val="003439F0"/>
    <w:rsid w:val="003511C2"/>
    <w:rsid w:val="00370983"/>
    <w:rsid w:val="00374042"/>
    <w:rsid w:val="003B02A8"/>
    <w:rsid w:val="003B1DAA"/>
    <w:rsid w:val="003C6BBE"/>
    <w:rsid w:val="004066C3"/>
    <w:rsid w:val="00421BA6"/>
    <w:rsid w:val="00423FEB"/>
    <w:rsid w:val="00427098"/>
    <w:rsid w:val="0043051B"/>
    <w:rsid w:val="0045172D"/>
    <w:rsid w:val="00452BF9"/>
    <w:rsid w:val="004954B3"/>
    <w:rsid w:val="004A4968"/>
    <w:rsid w:val="004B7353"/>
    <w:rsid w:val="004F55E9"/>
    <w:rsid w:val="00532CFE"/>
    <w:rsid w:val="00532F1E"/>
    <w:rsid w:val="00542CDA"/>
    <w:rsid w:val="0057460F"/>
    <w:rsid w:val="00576F5E"/>
    <w:rsid w:val="005A3696"/>
    <w:rsid w:val="005A43D8"/>
    <w:rsid w:val="005A5A06"/>
    <w:rsid w:val="005B3E8C"/>
    <w:rsid w:val="005D0438"/>
    <w:rsid w:val="005D404F"/>
    <w:rsid w:val="005E6F7B"/>
    <w:rsid w:val="005F4079"/>
    <w:rsid w:val="00601B51"/>
    <w:rsid w:val="006125B1"/>
    <w:rsid w:val="00615FA7"/>
    <w:rsid w:val="006218CE"/>
    <w:rsid w:val="0062658B"/>
    <w:rsid w:val="006339E4"/>
    <w:rsid w:val="0063416C"/>
    <w:rsid w:val="0063534E"/>
    <w:rsid w:val="00636147"/>
    <w:rsid w:val="00637371"/>
    <w:rsid w:val="006419B7"/>
    <w:rsid w:val="00644D82"/>
    <w:rsid w:val="006507C0"/>
    <w:rsid w:val="006B0A05"/>
    <w:rsid w:val="006B0EBB"/>
    <w:rsid w:val="006C0615"/>
    <w:rsid w:val="006D56C7"/>
    <w:rsid w:val="006E343D"/>
    <w:rsid w:val="006F4236"/>
    <w:rsid w:val="00711B07"/>
    <w:rsid w:val="0072531D"/>
    <w:rsid w:val="00725BA3"/>
    <w:rsid w:val="00734516"/>
    <w:rsid w:val="00743813"/>
    <w:rsid w:val="007454E8"/>
    <w:rsid w:val="00750EF2"/>
    <w:rsid w:val="00753FE6"/>
    <w:rsid w:val="00754132"/>
    <w:rsid w:val="00764A0F"/>
    <w:rsid w:val="007653F1"/>
    <w:rsid w:val="00766ED4"/>
    <w:rsid w:val="00777D99"/>
    <w:rsid w:val="00783C86"/>
    <w:rsid w:val="008003D8"/>
    <w:rsid w:val="00803F12"/>
    <w:rsid w:val="00811F56"/>
    <w:rsid w:val="0081424B"/>
    <w:rsid w:val="00817E2A"/>
    <w:rsid w:val="00825677"/>
    <w:rsid w:val="0082772E"/>
    <w:rsid w:val="0083324F"/>
    <w:rsid w:val="0083440F"/>
    <w:rsid w:val="0085088C"/>
    <w:rsid w:val="0086087B"/>
    <w:rsid w:val="00863CD7"/>
    <w:rsid w:val="00865A34"/>
    <w:rsid w:val="00880823"/>
    <w:rsid w:val="008B6CDD"/>
    <w:rsid w:val="008C3757"/>
    <w:rsid w:val="008D28C9"/>
    <w:rsid w:val="008F2A97"/>
    <w:rsid w:val="008F6B3E"/>
    <w:rsid w:val="00916888"/>
    <w:rsid w:val="009549F0"/>
    <w:rsid w:val="0097429B"/>
    <w:rsid w:val="00975912"/>
    <w:rsid w:val="00977BC3"/>
    <w:rsid w:val="009B1F65"/>
    <w:rsid w:val="009D0D55"/>
    <w:rsid w:val="009D4F73"/>
    <w:rsid w:val="009D75DD"/>
    <w:rsid w:val="009E7BB4"/>
    <w:rsid w:val="009F65AC"/>
    <w:rsid w:val="009F67FA"/>
    <w:rsid w:val="00A0015F"/>
    <w:rsid w:val="00A12416"/>
    <w:rsid w:val="00A15B5B"/>
    <w:rsid w:val="00A323C9"/>
    <w:rsid w:val="00A81DEA"/>
    <w:rsid w:val="00A84A7D"/>
    <w:rsid w:val="00A90C09"/>
    <w:rsid w:val="00A937E6"/>
    <w:rsid w:val="00A975A8"/>
    <w:rsid w:val="00AA0E98"/>
    <w:rsid w:val="00AD648C"/>
    <w:rsid w:val="00AD6939"/>
    <w:rsid w:val="00AF1C54"/>
    <w:rsid w:val="00B01FA5"/>
    <w:rsid w:val="00B10DA7"/>
    <w:rsid w:val="00B2563C"/>
    <w:rsid w:val="00B30D48"/>
    <w:rsid w:val="00B364A8"/>
    <w:rsid w:val="00B372E6"/>
    <w:rsid w:val="00B43309"/>
    <w:rsid w:val="00B439EA"/>
    <w:rsid w:val="00B5420D"/>
    <w:rsid w:val="00B67370"/>
    <w:rsid w:val="00B70CDD"/>
    <w:rsid w:val="00B71D7E"/>
    <w:rsid w:val="00B80C24"/>
    <w:rsid w:val="00B82B99"/>
    <w:rsid w:val="00BC0BB1"/>
    <w:rsid w:val="00BC1F34"/>
    <w:rsid w:val="00BC3ACE"/>
    <w:rsid w:val="00BD551F"/>
    <w:rsid w:val="00BE43BF"/>
    <w:rsid w:val="00BE73BA"/>
    <w:rsid w:val="00BF7068"/>
    <w:rsid w:val="00C03B39"/>
    <w:rsid w:val="00C2151A"/>
    <w:rsid w:val="00C268C3"/>
    <w:rsid w:val="00C27207"/>
    <w:rsid w:val="00C35819"/>
    <w:rsid w:val="00C40850"/>
    <w:rsid w:val="00C42B26"/>
    <w:rsid w:val="00C54F59"/>
    <w:rsid w:val="00CA5E72"/>
    <w:rsid w:val="00CC1BC1"/>
    <w:rsid w:val="00CC467C"/>
    <w:rsid w:val="00D11829"/>
    <w:rsid w:val="00D20BF0"/>
    <w:rsid w:val="00D53947"/>
    <w:rsid w:val="00D62DE0"/>
    <w:rsid w:val="00D64091"/>
    <w:rsid w:val="00D66474"/>
    <w:rsid w:val="00D705B7"/>
    <w:rsid w:val="00D87EE2"/>
    <w:rsid w:val="00D92669"/>
    <w:rsid w:val="00DB429B"/>
    <w:rsid w:val="00DB63E1"/>
    <w:rsid w:val="00DC726E"/>
    <w:rsid w:val="00DE4DC0"/>
    <w:rsid w:val="00DE63EC"/>
    <w:rsid w:val="00DF1AC8"/>
    <w:rsid w:val="00E15878"/>
    <w:rsid w:val="00E40F50"/>
    <w:rsid w:val="00E41944"/>
    <w:rsid w:val="00E66E8D"/>
    <w:rsid w:val="00E755D7"/>
    <w:rsid w:val="00EA30EF"/>
    <w:rsid w:val="00EB6E3F"/>
    <w:rsid w:val="00ED4CA6"/>
    <w:rsid w:val="00EF2D4A"/>
    <w:rsid w:val="00F54F77"/>
    <w:rsid w:val="00F66DF6"/>
    <w:rsid w:val="00F70DB1"/>
    <w:rsid w:val="00F71410"/>
    <w:rsid w:val="00F809FD"/>
    <w:rsid w:val="00F81BE8"/>
    <w:rsid w:val="00FA15D1"/>
    <w:rsid w:val="00FB7A0B"/>
    <w:rsid w:val="00FB7E88"/>
    <w:rsid w:val="00FC30EE"/>
    <w:rsid w:val="00FC7C4A"/>
    <w:rsid w:val="00FD12F7"/>
    <w:rsid w:val="00FD39B1"/>
    <w:rsid w:val="00FE005B"/>
    <w:rsid w:val="00FE0B6F"/>
    <w:rsid w:val="00FF1511"/>
    <w:rsid w:val="00FF39CA"/>
    <w:rsid w:val="00FF3DEB"/>
    <w:rsid w:val="00FF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D5AD2"/>
  <w15:docId w15:val="{A45FFAD4-ED45-4762-90C6-A14DD4A2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ind w:left="5670"/>
      <w:outlineLvl w:val="0"/>
    </w:pPr>
  </w:style>
  <w:style w:type="paragraph" w:styleId="Titolo2">
    <w:name w:val="heading 2"/>
    <w:basedOn w:val="Normale"/>
    <w:next w:val="Normale"/>
    <w:uiPriority w:val="9"/>
    <w:unhideWhenUsed/>
    <w:qFormat/>
    <w:pPr>
      <w:ind w:left="5670"/>
      <w:jc w:val="center"/>
      <w:outlineLvl w:val="1"/>
    </w:p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160" w:after="80"/>
      <w:outlineLvl w:val="2"/>
    </w:pPr>
    <w:rPr>
      <w:b/>
      <w:color w:val="80808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b/>
      <w:i/>
      <w:color w:val="153D63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color w:val="153D63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spacing w:after="160"/>
    </w:pPr>
    <w:rPr>
      <w:color w:val="595959"/>
      <w:sz w:val="28"/>
      <w:szCs w:val="28"/>
    </w:rPr>
  </w:style>
  <w:style w:type="paragraph" w:styleId="Paragrafoelenco">
    <w:name w:val="List Paragraph"/>
    <w:basedOn w:val="Normale"/>
    <w:uiPriority w:val="72"/>
    <w:qFormat/>
    <w:rsid w:val="00B70CDD"/>
    <w:pPr>
      <w:ind w:left="720"/>
      <w:contextualSpacing/>
      <w:jc w:val="both"/>
    </w:pPr>
    <w:rPr>
      <w:color w:val="000000"/>
      <w:szCs w:val="24"/>
      <w:lang w:eastAsia="en-US"/>
    </w:rPr>
  </w:style>
  <w:style w:type="paragraph" w:customStyle="1" w:styleId="Default">
    <w:name w:val="Default"/>
    <w:rsid w:val="00B2563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uiPriority w:val="99"/>
    <w:unhideWhenUsed/>
    <w:rsid w:val="00743813"/>
    <w:rPr>
      <w:rFonts w:ascii="Arial" w:hAnsi="Arial"/>
      <w:color w:val="000000"/>
      <w:sz w:val="2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743813"/>
    <w:rPr>
      <w:rFonts w:ascii="Times New Roman" w:eastAsia="Times New Roman" w:hAnsi="Times New Roman" w:cs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743813"/>
    <w:rPr>
      <w:rFonts w:ascii="Times New Roman" w:eastAsia="Times New Roman" w:hAnsi="Times New Roman" w:cs="Times New Roman"/>
    </w:rPr>
  </w:style>
  <w:style w:type="character" w:styleId="Rimandonotaapidipagina">
    <w:name w:val="footnote reference"/>
    <w:uiPriority w:val="99"/>
    <w:unhideWhenUsed/>
    <w:rsid w:val="00743813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A30E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75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E755D7"/>
    <w:rPr>
      <w:color w:val="808080"/>
    </w:rPr>
  </w:style>
  <w:style w:type="character" w:styleId="Rimandocommento">
    <w:name w:val="annotation reference"/>
    <w:basedOn w:val="Carpredefinitoparagrafo"/>
    <w:uiPriority w:val="99"/>
    <w:semiHidden/>
    <w:unhideWhenUsed/>
    <w:rsid w:val="00B82B9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82B99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82B9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82B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82B99"/>
    <w:rPr>
      <w:b/>
      <w:bCs/>
    </w:rPr>
  </w:style>
  <w:style w:type="character" w:styleId="Enfasicorsivo">
    <w:name w:val="Emphasis"/>
    <w:basedOn w:val="Carpredefinitoparagrafo"/>
    <w:uiPriority w:val="20"/>
    <w:qFormat/>
    <w:rsid w:val="00F66DF6"/>
    <w:rPr>
      <w:i/>
      <w:iCs/>
    </w:rPr>
  </w:style>
  <w:style w:type="paragraph" w:styleId="Puntoelenco">
    <w:name w:val="List Bullet"/>
    <w:uiPriority w:val="99"/>
    <w:unhideWhenUsed/>
    <w:rsid w:val="00B10DA7"/>
    <w:pPr>
      <w:numPr>
        <w:numId w:val="1"/>
      </w:numPr>
      <w:contextualSpacing/>
      <w:jc w:val="both"/>
    </w:pPr>
    <w:rPr>
      <w:lang w:val="it"/>
    </w:rPr>
  </w:style>
  <w:style w:type="table" w:customStyle="1" w:styleId="TableGrid">
    <w:name w:val="TableGrid"/>
    <w:rsid w:val="0063534E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g-star-inserted">
    <w:name w:val="ng-star-inserted"/>
    <w:basedOn w:val="Carpredefinitoparagrafo"/>
    <w:rsid w:val="00FA15D1"/>
  </w:style>
  <w:style w:type="paragraph" w:styleId="NormaleWeb">
    <w:name w:val="Normal (Web)"/>
    <w:basedOn w:val="Normale"/>
    <w:uiPriority w:val="99"/>
    <w:semiHidden/>
    <w:unhideWhenUsed/>
    <w:rsid w:val="00B6737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72">
    <w:name w:val="citation-72"/>
    <w:basedOn w:val="Carpredefinitoparagrafo"/>
    <w:rsid w:val="00B67370"/>
  </w:style>
  <w:style w:type="character" w:customStyle="1" w:styleId="citation-71">
    <w:name w:val="citation-71"/>
    <w:basedOn w:val="Carpredefinitoparagrafo"/>
    <w:rsid w:val="00B67370"/>
  </w:style>
  <w:style w:type="character" w:customStyle="1" w:styleId="citation-70">
    <w:name w:val="citation-70"/>
    <w:basedOn w:val="Carpredefinitoparagrafo"/>
    <w:rsid w:val="00B67370"/>
  </w:style>
  <w:style w:type="character" w:customStyle="1" w:styleId="citation-69">
    <w:name w:val="citation-69"/>
    <w:basedOn w:val="Carpredefinitoparagrafo"/>
    <w:rsid w:val="00B67370"/>
  </w:style>
  <w:style w:type="character" w:customStyle="1" w:styleId="citation-68">
    <w:name w:val="citation-68"/>
    <w:basedOn w:val="Carpredefinitoparagrafo"/>
    <w:rsid w:val="00B67370"/>
  </w:style>
  <w:style w:type="character" w:customStyle="1" w:styleId="citation-67">
    <w:name w:val="citation-67"/>
    <w:basedOn w:val="Carpredefinitoparagrafo"/>
    <w:rsid w:val="00B67370"/>
  </w:style>
  <w:style w:type="character" w:customStyle="1" w:styleId="citation-66">
    <w:name w:val="citation-66"/>
    <w:basedOn w:val="Carpredefinitoparagrafo"/>
    <w:rsid w:val="00B67370"/>
  </w:style>
  <w:style w:type="character" w:customStyle="1" w:styleId="citation-65">
    <w:name w:val="citation-65"/>
    <w:basedOn w:val="Carpredefinitoparagrafo"/>
    <w:rsid w:val="00B67370"/>
  </w:style>
  <w:style w:type="character" w:customStyle="1" w:styleId="citation-64">
    <w:name w:val="citation-64"/>
    <w:basedOn w:val="Carpredefinitoparagrafo"/>
    <w:rsid w:val="00B67370"/>
  </w:style>
  <w:style w:type="character" w:customStyle="1" w:styleId="citation-63">
    <w:name w:val="citation-63"/>
    <w:basedOn w:val="Carpredefinitoparagrafo"/>
    <w:rsid w:val="00E66E8D"/>
  </w:style>
  <w:style w:type="character" w:customStyle="1" w:styleId="citation-62">
    <w:name w:val="citation-62"/>
    <w:basedOn w:val="Carpredefinitoparagrafo"/>
    <w:rsid w:val="00E66E8D"/>
  </w:style>
  <w:style w:type="character" w:customStyle="1" w:styleId="citation-61">
    <w:name w:val="citation-61"/>
    <w:basedOn w:val="Carpredefinitoparagrafo"/>
    <w:rsid w:val="00E66E8D"/>
  </w:style>
  <w:style w:type="paragraph" w:customStyle="1" w:styleId="paragraph">
    <w:name w:val="paragraph"/>
    <w:basedOn w:val="Normale"/>
    <w:rsid w:val="004B735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968BA-C485-469C-B67F-23AFD9A3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deli Studi di Urbino Carlo Bo</Company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Alessandra Caselli</dc:creator>
  <cp:lastModifiedBy>Alessandra Caselli</cp:lastModifiedBy>
  <cp:revision>2</cp:revision>
  <cp:lastPrinted>2026-06-22T10:30:00Z</cp:lastPrinted>
  <dcterms:created xsi:type="dcterms:W3CDTF">2026-08-21T08:36:00Z</dcterms:created>
  <dcterms:modified xsi:type="dcterms:W3CDTF">2026-08-21T08:36:00Z</dcterms:modified>
</cp:coreProperties>
</file>